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BC" w:rsidRDefault="00A318BC" w:rsidP="00A318BC">
      <w:pPr>
        <w:spacing w:line="360" w:lineRule="auto"/>
        <w:jc w:val="center"/>
        <w:rPr>
          <w:rFonts w:asciiTheme="minorEastAsia" w:eastAsiaTheme="minorEastAsia" w:hAnsiTheme="minorEastAsia" w:cs="宋体"/>
          <w:sz w:val="26"/>
          <w:szCs w:val="26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山西大学东山校区(一期第一阶段)体育馆暂估价照明工程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比采购公告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山西大学东山校区(一期第一阶段)体育馆暂估价照明工程己具备采购</w:t>
      </w:r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比采购活动。</w:t>
      </w:r>
    </w:p>
    <w:p w:rsidR="00A318BC" w:rsidRDefault="00A318BC" w:rsidP="00A318BC">
      <w:pPr>
        <w:spacing w:before="19" w:line="360" w:lineRule="auto"/>
        <w:ind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一、</w:t>
      </w: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采购项目简介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1.1采购项目名称：山西大学东山校区(一期第一阶段)体育馆暂估价照明工程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1.2采购人：中国二十冶集团有限公司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1.5采购项目概况：本工程位于山西大学东山校区体育馆，为体育馆比赛用专项照明工程，具体内容详见采购文件。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000000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A318BC" w:rsidRDefault="00A318BC" w:rsidP="00A318BC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二.采购范围及相关要求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</w:t>
      </w:r>
      <w:r>
        <w:rPr>
          <w:rFonts w:asciiTheme="minorEastAsia" w:eastAsiaTheme="minorEastAsia" w:hAnsiTheme="minorEastAsia" w:cs="仿宋_GB2312"/>
          <w:sz w:val="24"/>
          <w:lang w:eastAsia="zh-CN"/>
        </w:rPr>
        <w:t>本次</w:t>
      </w:r>
      <w:proofErr w:type="gramStart"/>
      <w:r>
        <w:rPr>
          <w:rFonts w:asciiTheme="minorEastAsia" w:eastAsiaTheme="minorEastAsia" w:hAnsiTheme="minorEastAsia" w:cs="仿宋_GB2312"/>
          <w:sz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仿宋_GB2312"/>
          <w:sz w:val="24"/>
          <w:lang w:eastAsia="zh-CN"/>
        </w:rPr>
        <w:t>比</w:t>
      </w:r>
      <w:proofErr w:type="gramStart"/>
      <w:r>
        <w:rPr>
          <w:rFonts w:asciiTheme="minorEastAsia" w:eastAsiaTheme="minorEastAsia" w:hAnsiTheme="minorEastAsia" w:cs="仿宋_GB2312"/>
          <w:sz w:val="24"/>
          <w:lang w:eastAsia="zh-CN"/>
        </w:rPr>
        <w:t>采购共</w:t>
      </w:r>
      <w:proofErr w:type="gramEnd"/>
      <w:r>
        <w:rPr>
          <w:rFonts w:asciiTheme="minorEastAsia" w:eastAsiaTheme="minorEastAsia" w:hAnsiTheme="minorEastAsia" w:cs="仿宋_GB2312" w:hint="eastAsia"/>
          <w:sz w:val="24"/>
          <w:lang w:eastAsia="zh-CN"/>
        </w:rPr>
        <w:t>1</w:t>
      </w:r>
      <w:r>
        <w:rPr>
          <w:rFonts w:asciiTheme="minorEastAsia" w:eastAsiaTheme="minorEastAsia" w:hAnsiTheme="minorEastAsia" w:cs="仿宋_GB2312"/>
          <w:sz w:val="24"/>
          <w:lang w:eastAsia="zh-CN"/>
        </w:rPr>
        <w:t>包，</w:t>
      </w:r>
      <w:r>
        <w:rPr>
          <w:rFonts w:asciiTheme="minorEastAsia" w:eastAsiaTheme="minorEastAsia" w:hAnsiTheme="minorEastAsia" w:cs="宋体" w:hint="eastAsia"/>
          <w:sz w:val="24"/>
          <w:lang w:eastAsia="zh-CN"/>
        </w:rPr>
        <w:t>包括体育馆主场地照明、副场地照明，体育馆照明智控系统及体育馆应急疏散系统工程施工，具体内容详见工程量清单。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2.2计划工期：合同签订后45日内。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2.3建设地点：山西大学东山校区院内。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2.4工程质量：合格。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三.供应商资格要求</w:t>
      </w:r>
    </w:p>
    <w:p w:rsidR="00A318BC" w:rsidRDefault="00A318BC" w:rsidP="00A318BC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）依法设立：具有独立法人资格。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）资质要求：具备有效的建筑工程施工总承包叁级以上（含叁级）资质、有效的安全生产许可证。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 xml:space="preserve"> 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）财务要求：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 xml:space="preserve"> 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4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）业绩要求：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）信誉要求：未被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信用中国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www.creditchina.gov.cn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失信被执行人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、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重大税收违法案件当事人名单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、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政府采购严重违法失信名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单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，未被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国家企业信用信息公示系统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www.gsxt.gov.cn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 xml:space="preserve"> 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严重违法失信企业名单</w:t>
      </w:r>
      <w:r>
        <w:rPr>
          <w:rFonts w:asciiTheme="minorEastAsia" w:eastAsiaTheme="minorEastAsia" w:hAnsiTheme="minorEastAsia" w:cs="Calibri"/>
          <w:color w:val="1A1A23"/>
          <w:sz w:val="24"/>
          <w:szCs w:val="24"/>
          <w:lang w:eastAsia="zh-CN"/>
        </w:rPr>
        <w:t>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6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）承担本项目的主要人员要求：项目经理需具备贰级以上（含贰级）注册建造师执业资格（建筑工程专业，在本单位注册）和有效的安全生产考核合格证（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B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类），且未担任其他在施建设工程项目的项目经理。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 xml:space="preserve"> 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）其他要求：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/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3.2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供应商不得存在下列情形之一：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）处于被责令停产停业、暂扣或者吊销执照、暂扣或者吊销许可证、吊销资质证书状态；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</w:t>
      </w: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）处于清算程序，或被宣告破产，或其他丧失履约能力的情形；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3.3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单位负责人为同一人或者存在控股、管理关系的不同单位，不得参加同一标段询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比或者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A318BC" w:rsidRDefault="00A318BC" w:rsidP="00A318BC">
      <w:pPr>
        <w:spacing w:before="19" w:line="360" w:lineRule="auto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/>
          <w:color w:val="1A1A23"/>
          <w:sz w:val="24"/>
          <w:szCs w:val="24"/>
          <w:lang w:eastAsia="zh-CN"/>
        </w:rPr>
        <w:t>3.</w:t>
      </w:r>
      <w:r>
        <w:rPr>
          <w:rFonts w:asciiTheme="minorEastAsia" w:eastAsiaTheme="minorEastAsia" w:hAnsiTheme="minorEastAsia" w:hint="eastAsia"/>
          <w:color w:val="1A1A23"/>
          <w:sz w:val="24"/>
          <w:szCs w:val="24"/>
          <w:lang w:eastAsia="zh-CN"/>
        </w:rPr>
        <w:t>4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本次采购不接受联合体。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四.采购文件的获取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 w:rsidRPr="005800E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2022年3月28日至2022年3月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30</w:t>
      </w:r>
      <w:r w:rsidRPr="005800E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每日</w:t>
      </w:r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每日</w:t>
      </w:r>
      <w:proofErr w:type="gramEnd"/>
      <w:r>
        <w:rPr>
          <w:rFonts w:asciiTheme="minorEastAsia" w:eastAsiaTheme="minorEastAsia" w:hAnsiTheme="minorEastAsia" w:cs="宋体"/>
          <w:sz w:val="24"/>
          <w:szCs w:val="24"/>
          <w:lang w:eastAsia="zh-CN"/>
        </w:rPr>
        <w:t>8：30至11:30，14:00至17:00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（北京时间，下同），在华安项目管理咨询有限公司（山西省太原市长风街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号和信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商座19层招采事业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二部）购买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采购文件每套售价500元，售后不退。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授权委托书（法定代表人办理的，只需提供身份证明）、法定代表人身份证、被授权人身份证、营业执照、资质证书、安全生产许可证、拟任项目经理建造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师注册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证书和安全生产考核合格证书（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证）、</w:t>
      </w:r>
      <w:r>
        <w:rPr>
          <w:rFonts w:asciiTheme="minorEastAsia" w:eastAsiaTheme="minorEastAsia" w:hAnsiTheme="minorEastAsia" w:cs="仿宋_GB2312"/>
          <w:sz w:val="24"/>
          <w:lang w:eastAsia="zh-CN"/>
        </w:rPr>
        <w:t>供应商在“信用中国”未被列入“失信被执行人”“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政府采购严重违法失信名单</w:t>
      </w:r>
      <w:r>
        <w:rPr>
          <w:rFonts w:asciiTheme="minorEastAsia" w:eastAsiaTheme="minorEastAsia" w:hAnsiTheme="minorEastAsia" w:cs="仿宋_GB2312"/>
          <w:sz w:val="24"/>
          <w:lang w:eastAsia="zh-CN"/>
        </w:rPr>
        <w:t>”“重大税收违法案件当事人名单”网页截图、供应商“国家企业信用信息公示系统”未被列入“严重违法失信企业名单”网页截图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；</w:t>
      </w:r>
    </w:p>
    <w:p w:rsidR="00A318BC" w:rsidRDefault="00A318BC" w:rsidP="00A318BC">
      <w:pPr>
        <w:spacing w:before="19" w:line="360" w:lineRule="auto"/>
        <w:ind w:right="96" w:firstLineChars="200" w:firstLine="482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以上资料提供复印件一套并加盖单位公章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五.响应文件的递交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</w:t>
      </w:r>
      <w:r w:rsidRPr="005800E2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为2022年4月8日15时00分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，地点为华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>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7层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会议室）。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六.响应文件开启时间和地点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七.发布公告的媒介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比采购公告在《山西省招标投标协会（山西招标采购服务平台）》发布。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八.监督部门</w:t>
      </w:r>
      <w:bookmarkStart w:id="0" w:name="_GoBack"/>
      <w:bookmarkEnd w:id="0"/>
    </w:p>
    <w:p w:rsidR="00A318BC" w:rsidRDefault="00A318BC" w:rsidP="00A318BC">
      <w:pPr>
        <w:spacing w:line="420" w:lineRule="atLeast"/>
        <w:ind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山西大学。</w:t>
      </w:r>
    </w:p>
    <w:p w:rsidR="00A318BC" w:rsidRDefault="00A318BC" w:rsidP="00A318BC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九.联系方式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购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人：中国二十冶集团有限公司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采购代理机构：华安项目管理咨询有限公司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址：山西省太原市长风街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</w:t>
      </w:r>
      <w:proofErr w:type="gramEnd"/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系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人：李婷、王锐、郭继纲、陈波、李峻峰、余红兵、郭增林、王宏磊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 xml:space="preserve"> 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0351-2715140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如有异议请与以下联系人联系</w:t>
      </w:r>
    </w:p>
    <w:p w:rsidR="00A318BC" w:rsidRDefault="00A318BC" w:rsidP="00A318BC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联系人：李婷、王锐、郭继纲</w:t>
      </w:r>
    </w:p>
    <w:p w:rsidR="00200858" w:rsidRDefault="00A318BC" w:rsidP="00A318BC">
      <w:pPr>
        <w:ind w:firstLineChars="200" w:firstLine="480"/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联系方式：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0351-2715140</w:t>
      </w:r>
    </w:p>
    <w:sectPr w:rsidR="0020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14" w:rsidRDefault="00FC2314" w:rsidP="00A318BC">
      <w:r>
        <w:separator/>
      </w:r>
    </w:p>
  </w:endnote>
  <w:endnote w:type="continuationSeparator" w:id="0">
    <w:p w:rsidR="00FC2314" w:rsidRDefault="00FC2314" w:rsidP="00A3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14" w:rsidRDefault="00FC2314" w:rsidP="00A318BC">
      <w:r>
        <w:separator/>
      </w:r>
    </w:p>
  </w:footnote>
  <w:footnote w:type="continuationSeparator" w:id="0">
    <w:p w:rsidR="00FC2314" w:rsidRDefault="00FC2314" w:rsidP="00A3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E5"/>
    <w:rsid w:val="00200858"/>
    <w:rsid w:val="00A318BC"/>
    <w:rsid w:val="00CE2F2F"/>
    <w:rsid w:val="00D10F2A"/>
    <w:rsid w:val="00F631E5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A318BC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3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A318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18BC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A318BC"/>
    <w:rPr>
      <w:sz w:val="18"/>
      <w:szCs w:val="18"/>
    </w:rPr>
  </w:style>
  <w:style w:type="paragraph" w:styleId="a0">
    <w:name w:val="toa heading"/>
    <w:basedOn w:val="a"/>
    <w:next w:val="a"/>
    <w:uiPriority w:val="99"/>
    <w:semiHidden/>
    <w:unhideWhenUsed/>
    <w:rsid w:val="00A318BC"/>
    <w:pPr>
      <w:spacing w:before="120"/>
    </w:pPr>
    <w:rPr>
      <w:rFonts w:asciiTheme="majorHAnsi" w:eastAsia="宋体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1"/>
    <w:qFormat/>
    <w:rsid w:val="00A318BC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3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">
    <w:name w:val="页眉 Char"/>
    <w:basedOn w:val="a1"/>
    <w:link w:val="a4"/>
    <w:uiPriority w:val="99"/>
    <w:rsid w:val="00A318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18BC"/>
    <w:pPr>
      <w:tabs>
        <w:tab w:val="center" w:pos="4153"/>
        <w:tab w:val="right" w:pos="8306"/>
      </w:tabs>
      <w:snapToGrid w:val="0"/>
    </w:pPr>
    <w:rPr>
      <w:rFonts w:eastAsiaTheme="minorEastAsia"/>
      <w:kern w:val="2"/>
      <w:sz w:val="18"/>
      <w:szCs w:val="18"/>
      <w:lang w:eastAsia="zh-CN"/>
    </w:rPr>
  </w:style>
  <w:style w:type="character" w:customStyle="1" w:styleId="Char0">
    <w:name w:val="页脚 Char"/>
    <w:basedOn w:val="a1"/>
    <w:link w:val="a5"/>
    <w:uiPriority w:val="99"/>
    <w:rsid w:val="00A318BC"/>
    <w:rPr>
      <w:sz w:val="18"/>
      <w:szCs w:val="18"/>
    </w:rPr>
  </w:style>
  <w:style w:type="paragraph" w:styleId="a0">
    <w:name w:val="toa heading"/>
    <w:basedOn w:val="a"/>
    <w:next w:val="a"/>
    <w:uiPriority w:val="99"/>
    <w:semiHidden/>
    <w:unhideWhenUsed/>
    <w:rsid w:val="00A318BC"/>
    <w:pPr>
      <w:spacing w:before="120"/>
    </w:pPr>
    <w:rPr>
      <w:rFonts w:asciiTheme="majorHAnsi" w:eastAsia="宋体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c65d69386b13450db86c36c7a114f7bf</dc:creator>
  <cp:keywords/>
  <dc:description/>
  <cp:lastModifiedBy>c65d69386b13450db86c36c7a114f7bf</cp:lastModifiedBy>
  <cp:revision>3</cp:revision>
  <dcterms:created xsi:type="dcterms:W3CDTF">2022-03-28T02:45:00Z</dcterms:created>
  <dcterms:modified xsi:type="dcterms:W3CDTF">2022-03-28T03:03:00Z</dcterms:modified>
</cp:coreProperties>
</file>