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65" w:rsidRPr="00185B95" w:rsidRDefault="006B6B65" w:rsidP="006B6B65">
      <w:pPr>
        <w:spacing w:before="326"/>
        <w:jc w:val="center"/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山西大学东山校区暂估价运动场金属围栏采购及安装</w:t>
      </w:r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三次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6B6B65" w:rsidRPr="00185B95" w:rsidRDefault="006B6B65" w:rsidP="006B6B65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山西大学东山校区运动场暂估价金属围栏采购及安装己具备采购</w:t>
      </w:r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3D3F44"/>
          <w:spacing w:val="-69"/>
          <w:sz w:val="24"/>
          <w:szCs w:val="24"/>
          <w:lang w:eastAsia="zh-CN"/>
        </w:rPr>
        <w:t xml:space="preserve"> </w:t>
      </w: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比采购活动。</w:t>
      </w:r>
    </w:p>
    <w:p w:rsidR="006B6B65" w:rsidRPr="00185B95" w:rsidRDefault="006B6B65" w:rsidP="006B6B65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1.</w:t>
      </w: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采购项目简介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1.1采购项目名称：山西大学东山校区运动场暂估价金属围栏采购及安装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1.5采购项目概况：运动场金属围栏的采购与安装。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185B95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6B6B65" w:rsidRPr="00185B95" w:rsidRDefault="006B6B65" w:rsidP="006B6B65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6B6B65" w:rsidRPr="00185B95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2.1采购范围：运动场金属围栏的采购与安装，具体详见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6B6B65" w:rsidRPr="000A131A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2.2计划工期：15日历天。</w:t>
      </w:r>
    </w:p>
    <w:p w:rsidR="006B6B65" w:rsidRPr="000A131A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2.3建设地点：山西大学东山校区。 </w:t>
      </w:r>
    </w:p>
    <w:p w:rsidR="006B6B65" w:rsidRPr="000A131A" w:rsidRDefault="006B6B65" w:rsidP="006B6B65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2.4质量标准：合格。</w:t>
      </w:r>
    </w:p>
    <w:p w:rsidR="006B6B65" w:rsidRPr="000A131A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（1）依法设立：具有独立法人资格。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（2）资质要求：具备建设行政主管部门颁发的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建筑工程施工总承包三级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或市政公用工程施工总承包三级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，具备有效的安全生产许可证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（3）财务要求：/。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（4）业绩要求：/。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）列入“失信被执行人”、“重大税收违法案件当事人名单”、“政府采购严重违法失信名单”，未被“国家企业信用信息公示系统”（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）列入“严重违法失信企业名单”。 </w:t>
      </w:r>
    </w:p>
    <w:p w:rsidR="006B6B65" w:rsidRPr="000A131A" w:rsidRDefault="006B6B65" w:rsidP="006B6B65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（6）承担本项目的主要人员要求：拟任项目经理具备注册建造师执业资格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（建筑工程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或市政工程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专业）及有效的安全生产考核合格证书（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证），且未担任其他在施建设工程项目的项目经理。 </w:t>
      </w:r>
    </w:p>
    <w:p w:rsidR="006B6B65" w:rsidRPr="000A131A" w:rsidRDefault="006B6B65" w:rsidP="006B6B65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6B6B65" w:rsidRPr="000A131A" w:rsidRDefault="006B6B65" w:rsidP="006B6B65">
      <w:pPr>
        <w:numPr>
          <w:ilvl w:val="0"/>
          <w:numId w:val="1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6B6B65" w:rsidRDefault="006B6B65" w:rsidP="006B6B65">
      <w:pPr>
        <w:numPr>
          <w:ilvl w:val="0"/>
          <w:numId w:val="1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失履约能力的情形；</w:t>
      </w:r>
    </w:p>
    <w:p w:rsidR="006B6B65" w:rsidRDefault="006B6B65" w:rsidP="006B6B65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3.3单位负责人为同一人或者存在控股、管理关系的不同单位，不得参加同一标段询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比或者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6B6B65" w:rsidRDefault="006B6B65" w:rsidP="006B6B65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6B6B65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6B6B65" w:rsidRPr="00512986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14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日，每日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时（北京时间，下同），在华安项目管理咨询有限公司（山西省太原市长风街</w:t>
      </w: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9层</w:t>
      </w:r>
      <w:proofErr w:type="gramEnd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6B6B65" w:rsidRPr="00512986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6B6B65" w:rsidRPr="00512986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6B6B65" w:rsidRPr="00512986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授权委托书（法定代表人办理的，只需提供身份证明）、法定代表人身份证、被授权人身份证、营业执照、资质证书、安全生产许可证、项目经理建造</w:t>
      </w:r>
      <w:proofErr w:type="gramStart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师注册</w:t>
      </w:r>
      <w:proofErr w:type="gramEnd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证书和安全生产考核合格证书（</w:t>
      </w: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证）、基本账户开户许可证或基本存款账户证明材料；</w:t>
      </w:r>
    </w:p>
    <w:p w:rsidR="006B6B65" w:rsidRPr="00512986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6B6B65" w:rsidRPr="00512986" w:rsidRDefault="006B6B65" w:rsidP="006B6B65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6B6B65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18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15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 ，地点为华安项目管理咨询有限公司（山西省太原市长风街</w:t>
      </w: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 w:rsidRPr="00512986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 w:rsidRPr="00512986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6B6B65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6B6B65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6B6B65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6B6B65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7.发布公告的媒介</w:t>
      </w:r>
    </w:p>
    <w:p w:rsidR="006B6B65" w:rsidRDefault="006B6B65" w:rsidP="006B6B65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6B6B65" w:rsidRPr="000A131A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lastRenderedPageBreak/>
        <w:t>8.监督部门</w:t>
      </w:r>
    </w:p>
    <w:p w:rsidR="006B6B65" w:rsidRPr="00635B01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635B0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</w:p>
    <w:p w:rsidR="006B6B65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6B6B65" w:rsidRPr="00DA6123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  冀敏</w:t>
      </w:r>
      <w:bookmarkStart w:id="0" w:name="_GoBack"/>
      <w:bookmarkEnd w:id="0"/>
    </w:p>
    <w:p w:rsid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6B6B65" w:rsidRPr="00EE7281" w:rsidRDefault="006B6B65" w:rsidP="006B6B65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6B6B65" w:rsidRPr="00EE7281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3E3D7E" w:rsidRPr="006B6B65" w:rsidRDefault="006B6B65" w:rsidP="006B6B65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</w:p>
    <w:sectPr w:rsidR="003E3D7E" w:rsidRPr="006B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B2"/>
    <w:rsid w:val="003E3D7E"/>
    <w:rsid w:val="006B6B65"/>
    <w:rsid w:val="00D8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B65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B65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2</cp:revision>
  <dcterms:created xsi:type="dcterms:W3CDTF">2022-01-12T05:37:00Z</dcterms:created>
  <dcterms:modified xsi:type="dcterms:W3CDTF">2022-01-12T05:40:00Z</dcterms:modified>
</cp:coreProperties>
</file>