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01" w:firstLineChars="100"/>
        <w:jc w:val="center"/>
        <w:rPr>
          <w:rFonts w:ascii="宋体" w:hAnsi="宋体" w:eastAsia="宋体" w:cs="宋体"/>
          <w:b/>
          <w:bCs/>
          <w:kern w:val="0"/>
          <w:sz w:val="36"/>
          <w:szCs w:val="36"/>
          <w:lang w:bidi="ar"/>
        </w:rPr>
      </w:pPr>
      <w:bookmarkStart w:id="0" w:name="_Toc17227"/>
      <w:r>
        <w:rPr>
          <w:rFonts w:hint="eastAsia" w:ascii="宋体" w:hAnsi="宋体" w:eastAsia="宋体" w:cs="宋体"/>
          <w:b/>
          <w:bCs/>
          <w:kern w:val="0"/>
          <w:sz w:val="30"/>
          <w:szCs w:val="30"/>
          <w:lang w:bidi="ar"/>
        </w:rPr>
        <w:t>山西大学东山校区</w:t>
      </w:r>
      <w:r>
        <w:rPr>
          <w:rFonts w:hint="eastAsia" w:ascii="宋体" w:hAnsi="宋体" w:eastAsia="宋体" w:cs="宋体"/>
          <w:b/>
          <w:bCs/>
          <w:kern w:val="0"/>
          <w:sz w:val="30"/>
          <w:szCs w:val="30"/>
          <w:lang w:val="en-US" w:eastAsia="zh-CN" w:bidi="ar"/>
        </w:rPr>
        <w:t>电力学院暂估价主入口门厅定制艺术造型工程</w:t>
      </w:r>
      <w:bookmarkStart w:id="4" w:name="_GoBack"/>
      <w:bookmarkEnd w:id="4"/>
      <w:r>
        <w:rPr>
          <w:rFonts w:ascii="宋体" w:hAnsi="宋体" w:eastAsia="宋体" w:cs="宋体"/>
          <w:b/>
          <w:bCs/>
          <w:kern w:val="0"/>
          <w:sz w:val="30"/>
          <w:szCs w:val="30"/>
          <w:lang w:bidi="ar"/>
        </w:rPr>
        <w:t>询比采购公告</w:t>
      </w:r>
      <w:bookmarkEnd w:id="0"/>
    </w:p>
    <w:p>
      <w:pPr>
        <w:spacing w:line="480" w:lineRule="auto"/>
        <w:ind w:firstLine="630" w:firstLineChars="300"/>
        <w:jc w:val="both"/>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山西大学东山校区</w:t>
      </w:r>
      <w:r>
        <w:rPr>
          <w:rFonts w:hint="eastAsia" w:asciiTheme="minorEastAsia" w:hAnsiTheme="minorEastAsia" w:cstheme="minorEastAsia"/>
          <w:kern w:val="0"/>
          <w:szCs w:val="21"/>
          <w:lang w:val="en-US" w:eastAsia="zh-CN" w:bidi="ar"/>
        </w:rPr>
        <w:t>电力学院暂估价主入口门厅定制艺术造型工程</w:t>
      </w:r>
      <w:r>
        <w:rPr>
          <w:rFonts w:hint="eastAsia" w:asciiTheme="minorEastAsia" w:hAnsiTheme="minorEastAsia" w:cstheme="minorEastAsia"/>
          <w:kern w:val="0"/>
          <w:szCs w:val="21"/>
          <w:lang w:bidi="ar"/>
        </w:rPr>
        <w:t>已具备采购条件，现公开邀请供应商参加询比采购活动。</w:t>
      </w:r>
    </w:p>
    <w:p>
      <w:pPr>
        <w:widowControl/>
        <w:jc w:val="left"/>
        <w:rPr>
          <w:rFonts w:asciiTheme="minorEastAsia" w:hAnsiTheme="minorEastAsia" w:cstheme="minorEastAsia"/>
          <w:kern w:val="0"/>
          <w:szCs w:val="21"/>
          <w:lang w:bidi="ar"/>
        </w:rPr>
      </w:pP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tabs>
          <w:tab w:val="left" w:pos="5940"/>
        </w:tabs>
        <w:snapToGrid w:val="0"/>
        <w:spacing w:line="360" w:lineRule="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1.1采购项目名称:山西大学东山校区</w:t>
      </w:r>
      <w:r>
        <w:rPr>
          <w:rFonts w:hint="eastAsia" w:asciiTheme="minorEastAsia" w:hAnsiTheme="minorEastAsia" w:cstheme="minorEastAsia"/>
          <w:kern w:val="0"/>
          <w:szCs w:val="21"/>
          <w:lang w:val="en-US" w:eastAsia="zh-CN" w:bidi="ar"/>
        </w:rPr>
        <w:t>电力学院暂估价主入口门厅定制艺术造型工程</w:t>
      </w:r>
    </w:p>
    <w:p>
      <w:pPr>
        <w:tabs>
          <w:tab w:val="left" w:pos="5940"/>
        </w:tabs>
        <w:snapToGrid w:val="0"/>
        <w:spacing w:line="360" w:lineRule="auto"/>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1.2采购人:</w:t>
      </w:r>
      <w:r>
        <w:rPr>
          <w:rFonts w:hint="eastAsia" w:asciiTheme="minorEastAsia" w:hAnsiTheme="minorEastAsia" w:cstheme="minorEastAsia"/>
          <w:kern w:val="0"/>
          <w:szCs w:val="21"/>
          <w:lang w:val="en-US" w:eastAsia="zh-CN" w:bidi="ar"/>
        </w:rPr>
        <w:t>中铁十七局集团建筑工程有限公司</w:t>
      </w:r>
      <w:r>
        <w:rPr>
          <w:rFonts w:hint="eastAsia" w:asciiTheme="minorEastAsia" w:hAnsiTheme="minorEastAsia" w:cstheme="minorEastAsia"/>
          <w:kern w:val="0"/>
          <w:szCs w:val="21"/>
          <w:lang w:bidi="ar"/>
        </w:rPr>
        <w:tab/>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1.3采购代理机构:中招神舟项目管理有限公司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1.4采购项目资金落实情况:已落实</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1.5采购项目概况:山西大学东山校区电力学院教学与实验楼自动化系、电力系、动力系浮雕定制艺术造型三处及动力系悬吊艺术造型一处</w:t>
      </w:r>
      <w:r>
        <w:rPr>
          <w:rFonts w:hint="eastAsia" w:asciiTheme="minorEastAsia" w:hAnsiTheme="minorEastAsia" w:cstheme="minorEastAsia"/>
          <w:kern w:val="0"/>
          <w:szCs w:val="21"/>
          <w:lang w:val="en-US" w:eastAsia="zh-CN" w:bidi="ar"/>
        </w:rPr>
        <w:t>。</w:t>
      </w:r>
    </w:p>
    <w:p>
      <w:pPr>
        <w:tabs>
          <w:tab w:val="left" w:pos="5940"/>
        </w:tabs>
        <w:snapToGrid w:val="0"/>
        <w:spacing w:line="360" w:lineRule="auto"/>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2.1</w:t>
      </w:r>
      <w:r>
        <w:rPr>
          <w:rFonts w:hint="eastAsia" w:asciiTheme="minorEastAsia" w:hAnsiTheme="minorEastAsia" w:cstheme="minorEastAsia"/>
          <w:kern w:val="0"/>
          <w:szCs w:val="21"/>
          <w:lang w:bidi="ar"/>
        </w:rPr>
        <w:t>采购范围:山西大学东山校区电力学院教学与实验楼自动化系、电力系、动力系浮雕定制艺术造型三处及动力系悬吊艺术造型一处</w:t>
      </w:r>
      <w:r>
        <w:rPr>
          <w:rFonts w:hint="eastAsia" w:asciiTheme="minorEastAsia" w:hAnsiTheme="minorEastAsia" w:cstheme="minorEastAsia"/>
          <w:kern w:val="0"/>
          <w:szCs w:val="21"/>
          <w:lang w:val="en-US" w:eastAsia="zh-CN" w:bidi="ar"/>
        </w:rPr>
        <w:t>（具体以工程量清单为准）</w:t>
      </w:r>
      <w:r>
        <w:rPr>
          <w:rFonts w:hint="eastAsia" w:asciiTheme="minorEastAsia" w:hAnsiTheme="minorEastAsia" w:cstheme="minorEastAsia"/>
          <w:kern w:val="0"/>
          <w:szCs w:val="21"/>
          <w:lang w:bidi="ar"/>
        </w:rPr>
        <w:t>。</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2.2</w:t>
      </w:r>
      <w:r>
        <w:rPr>
          <w:rFonts w:hint="eastAsia" w:asciiTheme="minorEastAsia" w:hAnsiTheme="minorEastAsia" w:cstheme="minorEastAsia"/>
          <w:kern w:val="0"/>
          <w:szCs w:val="21"/>
          <w:lang w:bidi="ar"/>
        </w:rPr>
        <w:t>计划工期:签订合同后</w:t>
      </w:r>
      <w:r>
        <w:rPr>
          <w:rFonts w:hint="eastAsia" w:asciiTheme="minorEastAsia" w:hAnsiTheme="minorEastAsia" w:cstheme="minorEastAsia"/>
          <w:kern w:val="0"/>
          <w:szCs w:val="21"/>
          <w:lang w:val="en-US" w:eastAsia="zh-CN" w:bidi="ar"/>
        </w:rPr>
        <w:t>30</w:t>
      </w:r>
      <w:r>
        <w:rPr>
          <w:rFonts w:hint="eastAsia" w:asciiTheme="minorEastAsia" w:hAnsiTheme="minorEastAsia" w:cstheme="minorEastAsia"/>
          <w:kern w:val="0"/>
          <w:szCs w:val="21"/>
          <w:lang w:bidi="ar"/>
        </w:rPr>
        <w:t>日历天 (计划开工日期</w:t>
      </w:r>
      <w:r>
        <w:rPr>
          <w:rFonts w:hint="eastAsia" w:asciiTheme="minorEastAsia" w:hAnsiTheme="minorEastAsia" w:cstheme="minorEastAsia"/>
          <w:kern w:val="0"/>
          <w:szCs w:val="21"/>
          <w:u w:val="single"/>
          <w:lang w:bidi="ar"/>
        </w:rPr>
        <w:t>202</w:t>
      </w:r>
      <w:r>
        <w:rPr>
          <w:rFonts w:asciiTheme="minorEastAsia" w:hAnsiTheme="minorEastAsia" w:cstheme="minorEastAsia"/>
          <w:kern w:val="0"/>
          <w:szCs w:val="21"/>
          <w:u w:val="single"/>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u w:val="single"/>
          <w:lang w:val="en-US" w:eastAsia="zh-CN" w:bidi="ar"/>
        </w:rPr>
        <w:t xml:space="preserve"> 10</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u w:val="single"/>
          <w:lang w:val="en-US" w:eastAsia="zh-CN" w:bidi="ar"/>
        </w:rPr>
        <w:t>25</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2.3</w:t>
      </w:r>
      <w:r>
        <w:rPr>
          <w:rFonts w:hint="eastAsia" w:asciiTheme="minorEastAsia" w:hAnsiTheme="minorEastAsia" w:cstheme="minorEastAsia"/>
          <w:kern w:val="0"/>
          <w:szCs w:val="21"/>
          <w:lang w:bidi="ar"/>
        </w:rPr>
        <w:t>建设地点:山西大学东山校区内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2.5安全目标:安全作业无事故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1" w:name="_Toc28955"/>
      <w:r>
        <w:rPr>
          <w:rFonts w:hint="eastAsia" w:asciiTheme="minorEastAsia" w:hAnsiTheme="minorEastAsia" w:cstheme="minorEastAsia"/>
          <w:kern w:val="0"/>
          <w:szCs w:val="21"/>
          <w:lang w:bidi="ar"/>
        </w:rPr>
        <w:t>3.1供应商应依法设立且满足如下要求：</w:t>
      </w:r>
      <w:bookmarkEnd w:id="1"/>
    </w:p>
    <w:p>
      <w:pPr>
        <w:widowControl/>
        <w:numPr>
          <w:ilvl w:val="0"/>
          <w:numId w:val="1"/>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bidi="ar"/>
        </w:rPr>
        <w:t>资质要求:具备建设行政主管部门颁发的</w:t>
      </w:r>
      <w:r>
        <w:rPr>
          <w:rFonts w:hint="eastAsia" w:asciiTheme="minorEastAsia" w:hAnsiTheme="minorEastAsia" w:cstheme="minorEastAsia"/>
          <w:color w:val="000000" w:themeColor="text1"/>
          <w:kern w:val="0"/>
          <w:szCs w:val="21"/>
          <w:lang w:bidi="ar"/>
          <w14:textFill>
            <w14:solidFill>
              <w14:schemeClr w14:val="tx1"/>
            </w14:solidFill>
          </w14:textFill>
        </w:rPr>
        <w:t>建筑装修装饰工程</w:t>
      </w:r>
      <w:r>
        <w:rPr>
          <w:rFonts w:asciiTheme="minorEastAsia" w:hAnsiTheme="minorEastAsia" w:cstheme="minorEastAsia"/>
          <w:color w:val="000000" w:themeColor="text1"/>
          <w:kern w:val="0"/>
          <w:szCs w:val="21"/>
          <w:lang w:bidi="ar"/>
          <w14:textFill>
            <w14:solidFill>
              <w14:schemeClr w14:val="tx1"/>
            </w14:solidFill>
          </w14:textFill>
        </w:rPr>
        <w:t>专业承包</w:t>
      </w:r>
      <w:r>
        <w:rPr>
          <w:rFonts w:hint="eastAsia" w:asciiTheme="minorEastAsia" w:hAnsiTheme="minorEastAsia" w:cstheme="minorEastAsia"/>
          <w:color w:val="000000" w:themeColor="text1"/>
          <w:kern w:val="0"/>
          <w:szCs w:val="21"/>
          <w:lang w:bidi="ar"/>
          <w14:textFill>
            <w14:solidFill>
              <w14:schemeClr w14:val="tx1"/>
            </w14:solidFill>
          </w14:textFill>
        </w:rPr>
        <w:t>二级及以上资质，有效的营业执照、安全生产许可证，并在人员、设备、资金等方面具有相应的施工能力。</w:t>
      </w:r>
    </w:p>
    <w:p>
      <w:pPr>
        <w:widowControl/>
        <w:numPr>
          <w:ilvl w:val="0"/>
          <w:numId w:val="1"/>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 业绩要求:提供近三年的类似项目业绩。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 信誉要求:提供相关信誉情况的证明材料。</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具备建筑工程专业二级及以上注册建造师执业资格和有效的安全生产考核合格（B）证书，且未担任其它未竣工验收的在建工程项目的项目经理。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2" w:name="_Toc7359"/>
      <w:r>
        <w:rPr>
          <w:rFonts w:hint="eastAsia" w:asciiTheme="minorEastAsia" w:hAnsiTheme="minorEastAsia" w:cstheme="minorEastAsia"/>
          <w:kern w:val="0"/>
          <w:szCs w:val="21"/>
          <w:lang w:bidi="ar"/>
        </w:rPr>
        <w:t>3.2供应商不得存在下列情形之一:</w:t>
      </w:r>
      <w:bookmarkEnd w:id="2"/>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3"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有意参加询比采购活动的单位，请于202</w:t>
      </w:r>
      <w:r>
        <w:rPr>
          <w:rFonts w:hint="eastAsia" w:asciiTheme="minorEastAsia" w:hAnsiTheme="minorEastAsia" w:cstheme="minorEastAsia"/>
          <w:kern w:val="0"/>
          <w:szCs w:val="21"/>
          <w:lang w:val="en-US" w:eastAsia="zh-CN"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10</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12</w:t>
      </w:r>
      <w:r>
        <w:rPr>
          <w:rFonts w:hint="eastAsia" w:asciiTheme="minorEastAsia" w:hAnsiTheme="minorEastAsia" w:cstheme="minorEastAsia"/>
          <w:kern w:val="0"/>
          <w:szCs w:val="21"/>
          <w:lang w:bidi="ar"/>
        </w:rPr>
        <w:t>日至202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10</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14</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采购文件每套售价500元/标段，售后不退。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10</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18</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10</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10</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18</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10</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3"/>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（3）资质证书(副本)；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（4）安全生产许可证；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（7）“信用中国”、“中国裁判文书网”的网页截图；</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（8）关联企业证明。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bidi="ar"/>
        </w:rPr>
        <w:t>采购人：</w:t>
      </w:r>
      <w:r>
        <w:rPr>
          <w:rFonts w:hint="eastAsia" w:asciiTheme="minorEastAsia" w:hAnsiTheme="minorEastAsia" w:cstheme="minorEastAsia"/>
          <w:kern w:val="0"/>
          <w:szCs w:val="21"/>
          <w:lang w:val="en-US" w:eastAsia="zh-CN"/>
        </w:rPr>
        <w:t>中铁十七局集团建筑工程有限公司</w:t>
      </w:r>
    </w:p>
    <w:p>
      <w:pPr>
        <w:widowControl/>
        <w:spacing w:line="360" w:lineRule="auto"/>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Arial"/>
          <w:color w:val="000000"/>
          <w:kern w:val="0"/>
          <w:szCs w:val="21"/>
          <w:lang w:val="en-US" w:eastAsia="zh-CN"/>
        </w:rPr>
        <w:t>李娜</w:t>
      </w:r>
    </w:p>
    <w:p>
      <w:pPr>
        <w:autoSpaceDE w:val="0"/>
        <w:autoSpaceDN w:val="0"/>
        <w:spacing w:before="2"/>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电  话：</w:t>
      </w:r>
      <w:r>
        <w:rPr>
          <w:rFonts w:hint="eastAsia" w:ascii="宋体" w:hAnsi="宋体" w:eastAsia="宋体" w:cs="宋体"/>
          <w:kern w:val="0"/>
          <w:szCs w:val="21"/>
        </w:rPr>
        <w:t>1</w:t>
      </w:r>
      <w:r>
        <w:rPr>
          <w:rFonts w:hint="eastAsia" w:ascii="宋体" w:hAnsi="宋体" w:eastAsia="宋体" w:cs="宋体"/>
          <w:kern w:val="0"/>
          <w:szCs w:val="21"/>
          <w:lang w:val="en-US" w:eastAsia="zh-CN"/>
        </w:rPr>
        <w:t>8234005044</w:t>
      </w:r>
    </w:p>
    <w:p>
      <w:pPr>
        <w:pStyle w:val="4"/>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联系人：孙玲玲</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车莹莹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电话：0351-7070830、18635109055</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电子邮件：</w:t>
      </w:r>
      <w:r>
        <w:rPr>
          <w:rFonts w:hint="eastAsia" w:ascii="宋体" w:hAnsi="宋体" w:cs="Arial"/>
          <w:color w:val="000000"/>
          <w:kern w:val="0"/>
          <w:szCs w:val="21"/>
        </w:rPr>
        <w:t>170753741@qq.com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D335B"/>
    <w:multiLevelType w:val="singleLevel"/>
    <w:tmpl w:val="337D335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3180B"/>
    <w:rsid w:val="209333B7"/>
    <w:rsid w:val="4FD3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2021-10-12T08:56:00Z</dcterms:created>
  <dc:creator>Administrator</dc:creator>
  <cp:lastModifiedBy>Administrator</cp:lastModifiedBy>
  <dcterms:modified xsi:type="dcterms:W3CDTF">2021-10-12T08:58:14Z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50D0A55955404A76A3E6EB1E357C9804</vt:lpwstr>
  </property>
</Properties>
</file>