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黑体" w:asciiTheme="minorEastAsia" w:hAnsiTheme="minorEastAsia"/>
          <w:b/>
          <w:iCs/>
          <w:color w:val="000000" w:themeColor="text1"/>
          <w:szCs w:val="21"/>
          <w14:textFill>
            <w14:solidFill>
              <w14:schemeClr w14:val="tx1"/>
            </w14:solidFill>
          </w14:textFill>
        </w:rPr>
      </w:pPr>
      <w:bookmarkStart w:id="0" w:name="PO_招标公告名称"/>
      <w:r>
        <w:rPr>
          <w:rFonts w:hint="eastAsia" w:cs="黑体" w:asciiTheme="minorEastAsia" w:hAnsiTheme="minorEastAsia"/>
          <w:b/>
          <w:iCs/>
          <w:color w:val="000000" w:themeColor="text1"/>
          <w:szCs w:val="21"/>
          <w14:textFill>
            <w14:solidFill>
              <w14:schemeClr w14:val="tx1"/>
            </w14:solidFill>
          </w14:textFill>
        </w:rPr>
        <w:t>山西大学东山校区（一期第一阶段）项目学生公寓总承包暂估价</w:t>
      </w:r>
    </w:p>
    <w:p>
      <w:pPr>
        <w:spacing w:line="240" w:lineRule="auto"/>
        <w:jc w:val="center"/>
        <w:rPr>
          <w:rFonts w:cs="黑体" w:asciiTheme="minorEastAsia" w:hAnsiTheme="minorEastAsia"/>
          <w:b/>
          <w:iCs/>
          <w:color w:val="000000" w:themeColor="text1"/>
          <w:szCs w:val="21"/>
          <w14:textFill>
            <w14:solidFill>
              <w14:schemeClr w14:val="tx1"/>
            </w14:solidFill>
          </w14:textFill>
        </w:rPr>
      </w:pPr>
      <w:r>
        <w:rPr>
          <w:rFonts w:hint="eastAsia" w:cs="黑体" w:asciiTheme="minorEastAsia" w:hAnsiTheme="minorEastAsia"/>
          <w:b/>
          <w:iCs/>
          <w:color w:val="000000" w:themeColor="text1"/>
          <w:szCs w:val="21"/>
          <w14:textFill>
            <w14:solidFill>
              <w14:schemeClr w14:val="tx1"/>
            </w14:solidFill>
          </w14:textFill>
        </w:rPr>
        <w:t>智能安全用电节能计量管理系统设备采购</w:t>
      </w:r>
      <w:r>
        <w:rPr>
          <w:rFonts w:cs="黑体" w:asciiTheme="minorEastAsia" w:hAnsiTheme="minorEastAsia"/>
          <w:b/>
          <w:iCs/>
          <w:color w:val="000000" w:themeColor="text1"/>
          <w:szCs w:val="21"/>
          <w14:textFill>
            <w14:solidFill>
              <w14:schemeClr w14:val="tx1"/>
            </w14:solidFill>
          </w14:textFill>
        </w:rPr>
        <w:t>招标公告</w:t>
      </w:r>
    </w:p>
    <w:bookmarkEnd w:id="0"/>
    <w:p>
      <w:pPr>
        <w:spacing w:line="240" w:lineRule="auto"/>
        <w:jc w:val="center"/>
        <w:rPr>
          <w:rFonts w:cs="黑体" w:asciiTheme="minorEastAsia" w:hAnsiTheme="minorEastAsia"/>
          <w:b/>
          <w:color w:val="000000" w:themeColor="text1"/>
          <w:szCs w:val="21"/>
          <w:u w:val="single"/>
          <w14:textFill>
            <w14:solidFill>
              <w14:schemeClr w14:val="tx1"/>
            </w14:solidFill>
          </w14:textFill>
        </w:rPr>
      </w:pPr>
      <w:r>
        <w:rPr>
          <w:rFonts w:hint="eastAsia" w:cs="黑体" w:asciiTheme="minorEastAsia" w:hAnsiTheme="minorEastAsia"/>
          <w:b/>
          <w:color w:val="000000" w:themeColor="text1"/>
          <w:szCs w:val="21"/>
          <w14:textFill>
            <w14:solidFill>
              <w14:schemeClr w14:val="tx1"/>
            </w14:solidFill>
          </w14:textFill>
        </w:rPr>
        <w:t>（招标编号：</w:t>
      </w:r>
      <w:r>
        <w:rPr>
          <w:rFonts w:cs="黑体" w:asciiTheme="minorEastAsia" w:hAnsiTheme="minorEastAsia"/>
          <w:b/>
          <w:color w:val="000000" w:themeColor="text1"/>
          <w:szCs w:val="21"/>
          <w14:textFill>
            <w14:solidFill>
              <w14:schemeClr w14:val="tx1"/>
            </w14:solidFill>
          </w14:textFill>
        </w:rPr>
        <w:t>HAZB-QT-HW-20200892</w:t>
      </w:r>
      <w:r>
        <w:rPr>
          <w:rFonts w:hint="eastAsia" w:cs="黑体" w:asciiTheme="minorEastAsia" w:hAnsiTheme="minorEastAsia"/>
          <w:b/>
          <w:color w:val="000000" w:themeColor="text1"/>
          <w:szCs w:val="21"/>
          <w14:textFill>
            <w14:solidFill>
              <w14:schemeClr w14:val="tx1"/>
            </w14:solidFill>
          </w14:textFill>
        </w:rPr>
        <w:t>）</w:t>
      </w:r>
    </w:p>
    <w:p>
      <w:pPr>
        <w:widowControl/>
        <w:spacing w:after="0" w:line="360" w:lineRule="auto"/>
        <w:ind w:firstLine="420" w:firstLineChars="200"/>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招标项目所在地区：</w:t>
      </w:r>
      <w:bookmarkStart w:id="1" w:name="PO_招标项目所在地"/>
      <w:r>
        <w:rPr>
          <w:rFonts w:hint="eastAsia" w:ascii="Calibri" w:hAnsi="Calibri" w:eastAsia="宋体" w:cs="Times New Roman"/>
          <w:bCs/>
          <w:color w:val="000000" w:themeColor="text1"/>
          <w:kern w:val="0"/>
          <w:szCs w:val="24"/>
          <w:highlight w:val="none"/>
          <w:lang w:bidi="en-US"/>
          <w14:textFill>
            <w14:solidFill>
              <w14:schemeClr w14:val="tx1"/>
            </w14:solidFill>
          </w14:textFill>
        </w:rPr>
        <w:t>中国</w:t>
      </w:r>
      <w:r>
        <w:rPr>
          <w:rFonts w:ascii="Calibri" w:hAnsi="Calibri" w:eastAsia="宋体" w:cs="Times New Roman"/>
          <w:bCs/>
          <w:color w:val="000000" w:themeColor="text1"/>
          <w:kern w:val="0"/>
          <w:szCs w:val="24"/>
          <w:highlight w:val="none"/>
          <w:lang w:bidi="en-US"/>
          <w14:textFill>
            <w14:solidFill>
              <w14:schemeClr w14:val="tx1"/>
            </w14:solidFill>
          </w14:textFill>
        </w:rPr>
        <w:t>-山西省-太原市</w:t>
      </w:r>
      <w:bookmarkEnd w:id="1"/>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 xml:space="preserve">一、招标条件 </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本山西大学东山校区（一期第一阶段）项目学生公寓总承包暂估价智能安全用电节能计量管理系统设备采购（招标项目编号：M1400000026002363012），已由山西省发展和改革委员会以晋发改科教发〔2017〕771号文批准建设，共6个单体建筑，3个施工总承包单位。招标人为山西大学（建设单位）、中国建筑一局（集团）有限公司（B-7、B-8学生公寓施工总承包单位）、中铁三局集团建筑安装工程有限公司（B-1、B-2学生公寓施工总承包单位）、山西八建集团有限公司（B-5-A、B-5-B学生公寓施工总承包单位）。建设资金已落实，本项目已具备招标条件，并在“伟拓招标采购交易平台”（网址：www.wtjypt.com）以全流程电子招标投标的方式组织进行国内公开招标。</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 xml:space="preserve">二、项目概况和招标范围 </w:t>
      </w:r>
    </w:p>
    <w:p>
      <w:pPr>
        <w:spacing w:line="360" w:lineRule="auto"/>
        <w:ind w:firstLine="420" w:firstLineChars="200"/>
        <w:rPr>
          <w:bCs/>
          <w:highlight w:val="none"/>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2.1 项目规模：</w:t>
      </w:r>
      <w:r>
        <w:rPr>
          <w:rFonts w:hint="eastAsia"/>
          <w:bCs/>
          <w:highlight w:val="none"/>
        </w:rPr>
        <w:t>本项目北起南坪头水库南侧、南至南中环街东延，建筑面积约137131.57平方米，其中 B-1学生公寓建筑面积约37601.29平方米；B-2学生公寓建筑面积约21982.7平方米; B-5-A学生公寓建筑面积约21044.51平方米; B-5-B学生公寓建筑面积约17849.53平方米; B-7学生公寓建筑面积约17849.53平方米; B-8学生公寓建筑面积约20804.01平方米。</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2.2 招标编号：</w:t>
      </w:r>
      <w:r>
        <w:rPr>
          <w:rFonts w:ascii="Calibri" w:hAnsi="Calibri" w:eastAsia="宋体" w:cs="Times New Roman"/>
          <w:bCs/>
          <w:color w:val="000000" w:themeColor="text1"/>
          <w:kern w:val="0"/>
          <w:szCs w:val="24"/>
          <w:highlight w:val="none"/>
          <w:lang w:bidi="en-US"/>
          <w14:textFill>
            <w14:solidFill>
              <w14:schemeClr w14:val="tx1"/>
            </w14:solidFill>
          </w14:textFill>
        </w:rPr>
        <w:t>HAZB-QT-HW-20200892</w:t>
      </w:r>
      <w:r>
        <w:rPr>
          <w:rFonts w:hint="eastAsia" w:ascii="Calibri" w:hAnsi="Calibri" w:eastAsia="宋体" w:cs="Times New Roman"/>
          <w:bCs/>
          <w:color w:val="000000" w:themeColor="text1"/>
          <w:kern w:val="0"/>
          <w:szCs w:val="24"/>
          <w:highlight w:val="none"/>
          <w:lang w:bidi="en-US"/>
          <w14:textFill>
            <w14:solidFill>
              <w14:schemeClr w14:val="tx1"/>
            </w14:solidFill>
          </w14:textFill>
        </w:rPr>
        <w:t xml:space="preserve"> </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2.3 招标内容与范围：本招标项目划分为1个标段，本次招标为其中的 ：</w:t>
      </w:r>
    </w:p>
    <w:p>
      <w:pPr>
        <w:tabs>
          <w:tab w:val="left" w:pos="5173"/>
          <w:tab w:val="left" w:pos="8970"/>
        </w:tabs>
        <w:adjustRightInd w:val="0"/>
        <w:snapToGrid w:val="0"/>
        <w:spacing w:after="0" w:line="360" w:lineRule="auto"/>
        <w:ind w:firstLine="420" w:firstLineChars="200"/>
        <w:jc w:val="both"/>
        <w:rPr>
          <w:bCs/>
          <w:highlight w:val="none"/>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 xml:space="preserve">001 第一标段: </w:t>
      </w:r>
      <w:r>
        <w:rPr>
          <w:rFonts w:hint="eastAsia"/>
          <w:bCs/>
          <w:highlight w:val="none"/>
        </w:rPr>
        <w:t>B-1学生公寓、B-2学生公寓、B-5-A学生公寓、B-5-B学生公寓、B-7学生公寓、 B-8学生公寓</w:t>
      </w:r>
      <w:r>
        <w:rPr>
          <w:rFonts w:hint="eastAsia" w:ascii="Calibri" w:hAnsi="Calibri" w:eastAsia="宋体" w:cs="Times New Roman"/>
          <w:bCs/>
          <w:color w:val="000000" w:themeColor="text1"/>
          <w:kern w:val="0"/>
          <w:szCs w:val="24"/>
          <w:highlight w:val="none"/>
          <w:lang w:bidi="en-US"/>
          <w14:textFill>
            <w14:solidFill>
              <w14:schemeClr w14:val="tx1"/>
            </w14:solidFill>
          </w14:textFill>
        </w:rPr>
        <w:t>智能安全用电节能计量管理系统设备采购（详细要求及数量见招标文件）。</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 xml:space="preserve">三、投标人资格要求 </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kern w:val="0"/>
          <w:szCs w:val="24"/>
          <w:highlight w:val="none"/>
          <w:lang w:bidi="en-US"/>
        </w:rPr>
      </w:pPr>
      <w:r>
        <w:rPr>
          <w:rFonts w:hint="eastAsia" w:ascii="Calibri" w:hAnsi="Calibri" w:eastAsia="宋体" w:cs="Times New Roman"/>
          <w:bCs/>
          <w:kern w:val="0"/>
          <w:szCs w:val="24"/>
          <w:highlight w:val="none"/>
          <w:lang w:bidi="en-US"/>
        </w:rPr>
        <w:t>001第一标段投标人资格要求：</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3.1具有独立承担民事责任能力的制造商或制造商授权的代理商（代理商参加本项目，需具备制造商针对本项目出具的唯一授权书，如为制造商参加则不能再授权代理商参加本项目）；</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3.2所投产品须具备中华人民共和国计量器具型式批准证书；</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3.3投标人近3年具有智能控电设备供货业绩（2017年9月至投标截止时间）；</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3.4未被最高人民法院在“信用中国”网站中列入失信被执行人名单；</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3.5单位负责人为同一人或者存在控股、管理关系的不同单位，不得参加同一标段投标或者未划分标段的同一招标项目投标；</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3.6投标人应满足上述资格要求，并提供以下资料：</w:t>
      </w:r>
      <w:r>
        <w:rPr>
          <w:rFonts w:hint="eastAsia" w:ascii="Calibri" w:hAnsi="Calibri" w:eastAsia="宋体" w:cs="Times New Roman"/>
          <w:bCs/>
          <w:kern w:val="0"/>
          <w:szCs w:val="24"/>
          <w:highlight w:val="none"/>
          <w:lang w:bidi="en-US"/>
        </w:rPr>
        <w:t>法人授权委托书（法定代表人办理的，只需提供身份证明）、法定代表人身份证、被授权人身份证、营业执照、</w:t>
      </w:r>
      <w:r>
        <w:rPr>
          <w:rFonts w:hint="eastAsia" w:ascii="Calibri" w:hAnsi="Calibri" w:eastAsia="宋体" w:cs="Times New Roman"/>
          <w:bCs/>
          <w:color w:val="000000" w:themeColor="text1"/>
          <w:kern w:val="0"/>
          <w:szCs w:val="24"/>
          <w:highlight w:val="none"/>
          <w:lang w:bidi="en-US"/>
          <w14:textFill>
            <w14:solidFill>
              <w14:schemeClr w14:val="tx1"/>
            </w14:solidFill>
          </w14:textFill>
        </w:rPr>
        <w:t>智能控电设备</w:t>
      </w:r>
      <w:r>
        <w:rPr>
          <w:rFonts w:hint="eastAsia" w:ascii="Calibri" w:hAnsi="Calibri" w:eastAsia="宋体" w:cs="Times New Roman"/>
          <w:bCs/>
          <w:kern w:val="0"/>
          <w:szCs w:val="24"/>
          <w:highlight w:val="none"/>
          <w:lang w:bidi="en-US"/>
        </w:rPr>
        <w:t>供货业绩（以合同为准）、未被最高人民法院在“信用中国”网站中列入失信被执行人名单”截图、基本存款账户信息资料；</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本项目不允许联合体投标。</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 xml:space="preserve">四、招标文件的获取 </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4.1 获取时间：2020-9-16 11：00至2020-9-21  11：00（北京时间）。</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4.2 获取方法：登录“伟拓招标采购交易平台”下载招标文件。</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4.3 标书售价：500元人民币/标段(包)，招标文件售后不退。</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4.4 本次招标为全流程线上招标项目，凡有意参与的投标人须先在山西省公共资源交易平台主体库（http://jyzt.sxzwfw.gov.cn） 完成注册，并办理 CA 数字证书。详情请查看山西省公共资源交易服务平台主体库网上注册指南；主体库资料核验咨询电话：0351-7731313；CA数字证书办理咨询电话：4006530200，证书客户服务QQ群：874457058；</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4.5参与该项目的投标人需在伟拓招标采购交易平台（网址：www.wtjypt.com）完成注册后登录系统，通过“招标投标”栏目参加投标。对于划分标段的招标项目，投标人应按照相关要求慎重选择标段，因操作失误造成的后果由投标人自行承担。</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4.6招标文件费汇款账户：</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户 名：山西华安建设项目管理有限公司</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开户银行：民生银行太原亲贤北街支行</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账 号：0906014170002081</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备注:请在备注栏中注明是**项目(招标编号)的招标文件费用。</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五、投标文件的递交</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5.1 递交截止时间：2020-10-14   09：00（北京时间）</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5.2 递交方法：投标人登录伟拓招标采购交易平台进入“我的投标”点击“投标文件”，并使用CA数字证书进行加密上传。</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5.3 递交地址：伟拓招标采购交易平台（www.wtjypt.com）。</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逾期送达的、未按指定方法或者未送达指定地点的投标文件，招标人不予受理。</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六、开标时间及方式</w:t>
      </w:r>
    </w:p>
    <w:p>
      <w:pPr>
        <w:tabs>
          <w:tab w:val="left" w:pos="5173"/>
          <w:tab w:val="left" w:pos="8970"/>
        </w:tabs>
        <w:adjustRightInd w:val="0"/>
        <w:snapToGrid w:val="0"/>
        <w:spacing w:after="0" w:line="360" w:lineRule="auto"/>
        <w:ind w:firstLine="420" w:firstLineChars="200"/>
        <w:jc w:val="both"/>
        <w:rPr>
          <w:rFonts w:hint="eastAsia"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6.1 开标时间：2020-10-14   09：00（北京时间）</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6.2 开标方式：通过伟拓招标采购交易平台组织在线开标</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七、其他公告内容</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本次招标公告在伟拓招标采购交易平台、山西省招标投标公共服务平台同时发布。</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八、监督部门</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本招标项目的监督部门为山西大学</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 xml:space="preserve">九、联系方式 </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招标人：山西大学</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中国建筑一局（集团）有限公司</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中铁三局集团建筑安装工程有限公司</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山西八建集团有限公司</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招标代理机构：山西华安建设项目管理有限公司</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地址：太原市长风街705号和信商座19层</w:t>
      </w:r>
    </w:p>
    <w:p>
      <w:pPr>
        <w:tabs>
          <w:tab w:val="left" w:pos="5173"/>
          <w:tab w:val="left" w:pos="8970"/>
        </w:tabs>
        <w:adjustRightInd w:val="0"/>
        <w:snapToGrid w:val="0"/>
        <w:spacing w:after="0" w:line="360" w:lineRule="auto"/>
        <w:ind w:firstLine="420" w:firstLineChars="200"/>
        <w:jc w:val="both"/>
        <w:rPr>
          <w:rFonts w:ascii="Calibri" w:hAnsi="Calibri" w:eastAsia="宋体" w:cs="Times New Roman"/>
          <w:bCs/>
          <w:color w:val="000000" w:themeColor="text1"/>
          <w:kern w:val="0"/>
          <w:szCs w:val="24"/>
          <w:highlight w:val="none"/>
          <w:lang w:bidi="en-US"/>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联系人：药然  郭甲甲  郭继纲</w:t>
      </w:r>
    </w:p>
    <w:p>
      <w:pPr>
        <w:tabs>
          <w:tab w:val="left" w:pos="5173"/>
          <w:tab w:val="left" w:pos="8970"/>
        </w:tabs>
        <w:adjustRightInd w:val="0"/>
        <w:snapToGrid w:val="0"/>
        <w:spacing w:after="0" w:line="360" w:lineRule="auto"/>
        <w:ind w:firstLine="420" w:firstLineChars="200"/>
        <w:jc w:val="both"/>
        <w:rPr>
          <w:rFonts w:cs="宋体" w:asciiTheme="minorEastAsia" w:hAnsiTheme="minorEastAsia"/>
          <w:snapToGrid w:val="0"/>
          <w:color w:val="000000" w:themeColor="text1"/>
          <w:kern w:val="0"/>
          <w:szCs w:val="21"/>
          <w:highlight w:val="none"/>
          <w14:textFill>
            <w14:solidFill>
              <w14:schemeClr w14:val="tx1"/>
            </w14:solidFill>
          </w14:textFill>
        </w:rPr>
      </w:pPr>
      <w:r>
        <w:rPr>
          <w:rFonts w:hint="eastAsia" w:ascii="Calibri" w:hAnsi="Calibri" w:eastAsia="宋体" w:cs="Times New Roman"/>
          <w:bCs/>
          <w:color w:val="000000" w:themeColor="text1"/>
          <w:kern w:val="0"/>
          <w:szCs w:val="24"/>
          <w:highlight w:val="none"/>
          <w:lang w:bidi="en-US"/>
          <w14:textFill>
            <w14:solidFill>
              <w14:schemeClr w14:val="tx1"/>
            </w14:solidFill>
          </w14:textFill>
        </w:rPr>
        <w:t xml:space="preserve">联系电话：0351-2715131  </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F530C"/>
    <w:rsid w:val="066F5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2020-09-16T03:25:00Z</dcterms:created>
  <dc:creator>NTKO</dc:creator>
  <cp:lastModifiedBy>NTKO</cp:lastModifiedBy>
  <dcterms:modified xsi:type="dcterms:W3CDTF">2020-09-16T03:25:46Z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